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71F" w:rsidRDefault="00E7471F" w:rsidP="00E7471F">
      <w:pPr>
        <w:jc w:val="center"/>
        <w:rPr>
          <w:rFonts w:ascii="Times New Roman" w:hAnsi="Times New Roman" w:cs="Times New Roman"/>
          <w:sz w:val="24"/>
          <w:szCs w:val="24"/>
        </w:rPr>
      </w:pPr>
      <w:r w:rsidRPr="00621221">
        <w:rPr>
          <w:rFonts w:ascii="Times New Roman" w:hAnsi="Times New Roman" w:cs="Times New Roman"/>
          <w:sz w:val="24"/>
          <w:szCs w:val="24"/>
        </w:rPr>
        <w:t>Supreme Court case Mapp v. Ohio</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Name</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Institution</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Course</w:t>
      </w:r>
    </w:p>
    <w:p w:rsidR="00E7471F" w:rsidRDefault="00E7471F" w:rsidP="00E7471F">
      <w:pPr>
        <w:jc w:val="center"/>
        <w:rPr>
          <w:rFonts w:ascii="Times New Roman" w:hAnsi="Times New Roman" w:cs="Times New Roman"/>
          <w:sz w:val="24"/>
          <w:szCs w:val="24"/>
        </w:rPr>
      </w:pPr>
      <w:r>
        <w:rPr>
          <w:rFonts w:ascii="Times New Roman" w:hAnsi="Times New Roman" w:cs="Times New Roman"/>
          <w:sz w:val="24"/>
          <w:szCs w:val="24"/>
        </w:rPr>
        <w:t>Date</w:t>
      </w:r>
    </w:p>
    <w:p w:rsidR="00E7471F" w:rsidRDefault="00E7471F">
      <w:pPr>
        <w:rPr>
          <w:rFonts w:ascii="Times New Roman" w:hAnsi="Times New Roman" w:cs="Times New Roman"/>
          <w:sz w:val="24"/>
          <w:szCs w:val="24"/>
        </w:rPr>
      </w:pPr>
      <w:r>
        <w:rPr>
          <w:rFonts w:ascii="Times New Roman" w:hAnsi="Times New Roman" w:cs="Times New Roman"/>
          <w:sz w:val="24"/>
          <w:szCs w:val="24"/>
        </w:rPr>
        <w:br w:type="page"/>
      </w:r>
    </w:p>
    <w:p w:rsidR="0043669D" w:rsidRDefault="0043669D" w:rsidP="0043669D">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43669D">
        <w:rPr>
          <w:rFonts w:ascii="Times New Roman" w:eastAsia="Times New Roman" w:hAnsi="Times New Roman" w:cs="Times New Roman"/>
          <w:color w:val="000000"/>
          <w:sz w:val="24"/>
          <w:szCs w:val="24"/>
        </w:rPr>
        <w:lastRenderedPageBreak/>
        <w:t>Mapp v. Oh was the 1961 landmark Supreme Court example that decided that any information confiscated at the infringement of this Fourth Amendment to this USA Constitution– which protects America citizens from “unreasonable searches and seizures</w:t>
      </w:r>
      <w:r w:rsidR="00926E11">
        <w:rPr>
          <w:rFonts w:ascii="Times New Roman" w:eastAsia="Times New Roman" w:hAnsi="Times New Roman" w:cs="Times New Roman"/>
          <w:color w:val="000000"/>
          <w:sz w:val="24"/>
          <w:szCs w:val="24"/>
        </w:rPr>
        <w:t xml:space="preserve">” </w:t>
      </w:r>
      <w:r w:rsidR="00926E11" w:rsidRPr="0043669D">
        <w:rPr>
          <w:rFonts w:ascii="Times New Roman" w:eastAsia="Times New Roman" w:hAnsi="Times New Roman" w:cs="Times New Roman"/>
          <w:color w:val="000000"/>
          <w:sz w:val="24"/>
          <w:szCs w:val="24"/>
        </w:rPr>
        <w:t>might</w:t>
      </w:r>
      <w:r w:rsidRPr="0043669D">
        <w:rPr>
          <w:rFonts w:ascii="Times New Roman" w:eastAsia="Times New Roman" w:hAnsi="Times New Roman" w:cs="Times New Roman"/>
          <w:color w:val="000000"/>
          <w:sz w:val="24"/>
          <w:szCs w:val="24"/>
        </w:rPr>
        <w:t xml:space="preserve"> not be used in state courts. The decision continued the existing term from the government to state courts.</w:t>
      </w:r>
    </w:p>
    <w:p w:rsidR="004516A4" w:rsidRPr="004516A4" w:rsidRDefault="004516A4" w:rsidP="004516A4">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4516A4">
        <w:rPr>
          <w:rFonts w:ascii="Times New Roman" w:eastAsia="Times New Roman" w:hAnsi="Times New Roman" w:cs="Times New Roman"/>
          <w:color w:val="000000"/>
          <w:sz w:val="24"/>
          <w:szCs w:val="24"/>
        </w:rPr>
        <w:t xml:space="preserve">It was not until its 1961 decision at Mapp v. Ohio that the Supreme Court adequately extended this exclusionary law to allude to all administration criminal arraignments. In this model, Cleveland police presumed the Dollree Mapp was harboring the guilty party of the firebombing. They went to her home and requested access, which she denied. The police pulled their way in, cuffed her, and kept on observing the house without the warrant. They didn't make the firebombing individual. However, they made the erotic entertainment distribution that supposedly abused vulgarity laws. Mapp cost captured, indicted, and condemned to seven periods at the circumstance. </w:t>
      </w:r>
    </w:p>
    <w:p w:rsidR="004516A4" w:rsidRPr="004516A4" w:rsidRDefault="004516A4" w:rsidP="004516A4">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p>
    <w:p w:rsidR="004516A4" w:rsidRPr="004516A4" w:rsidRDefault="004516A4" w:rsidP="004516A4">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4516A4">
        <w:rPr>
          <w:rFonts w:ascii="Times New Roman" w:eastAsia="Times New Roman" w:hAnsi="Times New Roman" w:cs="Times New Roman"/>
          <w:color w:val="000000"/>
          <w:sz w:val="24"/>
          <w:szCs w:val="24"/>
        </w:rPr>
        <w:t>The program of U.S. Incomparable Court choices under the Warren Court prompted noteworthy modifications in policing, with respect to social liberties and protected law. Mapp v. Ohio in 1961 was a critical specialist choice. Mapp v. Ohio saw that data got disregarding this Fourth Amendment security against "absurd ventures and seizures" may not be connected in illicit indictments. Mapp v. Ohio required that illicit respondents must be educated regarding their situation to counsel with the lawyer and of their betray self-implication before meeting by cops. These choices began to make general me</w:t>
      </w:r>
      <w:r>
        <w:rPr>
          <w:rFonts w:ascii="Times New Roman" w:eastAsia="Times New Roman" w:hAnsi="Times New Roman" w:cs="Times New Roman"/>
          <w:color w:val="000000"/>
          <w:sz w:val="24"/>
          <w:szCs w:val="24"/>
        </w:rPr>
        <w:t xml:space="preserve">asures for policing (Solove, </w:t>
      </w:r>
      <w:r w:rsidRPr="004516A4">
        <w:rPr>
          <w:rFonts w:ascii="Times New Roman" w:eastAsia="Times New Roman" w:hAnsi="Times New Roman" w:cs="Times New Roman"/>
          <w:color w:val="000000"/>
          <w:sz w:val="24"/>
          <w:szCs w:val="24"/>
        </w:rPr>
        <w:t xml:space="preserve">2016). </w:t>
      </w:r>
    </w:p>
    <w:p w:rsidR="00160969" w:rsidRDefault="004516A4" w:rsidP="004516A4">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4516A4">
        <w:rPr>
          <w:rFonts w:ascii="Times New Roman" w:eastAsia="Times New Roman" w:hAnsi="Times New Roman" w:cs="Times New Roman"/>
          <w:color w:val="000000"/>
          <w:sz w:val="24"/>
          <w:szCs w:val="24"/>
        </w:rPr>
        <w:t xml:space="preserve">At this Bill of Rights, this Fourth Amendment shields and disallows all individuals from preposterous inquiries and seizures. Outline, The United States law, includes major rights, and a portion of those rights consolidate the First 10 Amendments, that are called Bill of rights. At this </w:t>
      </w:r>
      <w:r w:rsidRPr="004516A4">
        <w:rPr>
          <w:rFonts w:ascii="Times New Roman" w:eastAsia="Times New Roman" w:hAnsi="Times New Roman" w:cs="Times New Roman"/>
          <w:color w:val="000000"/>
          <w:sz w:val="24"/>
          <w:szCs w:val="24"/>
        </w:rPr>
        <w:lastRenderedPageBreak/>
        <w:t>Bill of Rights, the Fourth Amendment shields these individuals from outlandish inquiry, assault, and seizure</w:t>
      </w:r>
      <w:r w:rsidR="00160969">
        <w:rPr>
          <w:rFonts w:ascii="Times New Roman" w:eastAsia="Times New Roman" w:hAnsi="Times New Roman" w:cs="Times New Roman"/>
          <w:color w:val="000000"/>
          <w:sz w:val="24"/>
          <w:szCs w:val="24"/>
        </w:rPr>
        <w:t xml:space="preserve"> (Murray, </w:t>
      </w:r>
      <w:r w:rsidR="00160969" w:rsidRPr="00160969">
        <w:rPr>
          <w:rFonts w:ascii="Times New Roman" w:eastAsia="Times New Roman" w:hAnsi="Times New Roman" w:cs="Times New Roman"/>
          <w:color w:val="000000"/>
          <w:sz w:val="24"/>
          <w:szCs w:val="24"/>
        </w:rPr>
        <w:t>2017). </w:t>
      </w:r>
    </w:p>
    <w:p w:rsidR="00F25BF5" w:rsidRPr="00F25BF5" w:rsidRDefault="00160969" w:rsidP="007C5143">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F25BF5">
        <w:rPr>
          <w:rFonts w:ascii="Times New Roman" w:eastAsia="Times New Roman" w:hAnsi="Times New Roman" w:cs="Times New Roman"/>
          <w:color w:val="000000"/>
          <w:sz w:val="24"/>
          <w:szCs w:val="24"/>
        </w:rPr>
        <w:t xml:space="preserve"> </w:t>
      </w:r>
      <w:r w:rsidR="000813B1" w:rsidRPr="00F25BF5">
        <w:rPr>
          <w:rFonts w:ascii="Times New Roman" w:eastAsia="Times New Roman" w:hAnsi="Times New Roman" w:cs="Times New Roman"/>
          <w:color w:val="000000"/>
          <w:sz w:val="24"/>
          <w:szCs w:val="24"/>
        </w:rPr>
        <w:t xml:space="preserve">Mapp v. Ohio was the great judgment by this Supreme Court of the United States </w:t>
      </w:r>
      <w:r w:rsidR="00926E11" w:rsidRPr="00F25BF5">
        <w:rPr>
          <w:rFonts w:ascii="Times New Roman" w:eastAsia="Times New Roman" w:hAnsi="Times New Roman" w:cs="Times New Roman"/>
          <w:color w:val="000000"/>
          <w:sz w:val="24"/>
          <w:szCs w:val="24"/>
        </w:rPr>
        <w:t>for the reason that</w:t>
      </w:r>
      <w:r w:rsidR="000813B1" w:rsidRPr="00F25BF5">
        <w:rPr>
          <w:rFonts w:ascii="Times New Roman" w:eastAsia="Times New Roman" w:hAnsi="Times New Roman" w:cs="Times New Roman"/>
          <w:color w:val="000000"/>
          <w:sz w:val="24"/>
          <w:szCs w:val="24"/>
        </w:rPr>
        <w:t xml:space="preserve"> it reaffirmed the value of this Fourth Amendment, the security which keeps "unwarranted searches and seizures" on an </w:t>
      </w:r>
      <w:r w:rsidR="00926E11" w:rsidRPr="00F25BF5">
        <w:rPr>
          <w:rFonts w:ascii="Times New Roman" w:eastAsia="Times New Roman" w:hAnsi="Times New Roman" w:cs="Times New Roman"/>
          <w:color w:val="000000"/>
          <w:sz w:val="24"/>
          <w:szCs w:val="24"/>
        </w:rPr>
        <w:t>personality</w:t>
      </w:r>
      <w:r w:rsidR="000813B1" w:rsidRPr="00F25BF5">
        <w:rPr>
          <w:rFonts w:ascii="Times New Roman" w:eastAsia="Times New Roman" w:hAnsi="Times New Roman" w:cs="Times New Roman"/>
          <w:color w:val="000000"/>
          <w:sz w:val="24"/>
          <w:szCs w:val="24"/>
        </w:rPr>
        <w:t xml:space="preserve"> in criminal law. Additionally, information </w:t>
      </w:r>
      <w:r w:rsidR="00926E11" w:rsidRPr="00F25BF5">
        <w:rPr>
          <w:rFonts w:ascii="Times New Roman" w:eastAsia="Times New Roman" w:hAnsi="Times New Roman" w:cs="Times New Roman"/>
          <w:color w:val="000000"/>
          <w:sz w:val="24"/>
          <w:szCs w:val="24"/>
        </w:rPr>
        <w:t>obtains</w:t>
      </w:r>
      <w:r w:rsidR="000813B1" w:rsidRPr="00F25BF5">
        <w:rPr>
          <w:rFonts w:ascii="Times New Roman" w:eastAsia="Times New Roman" w:hAnsi="Times New Roman" w:cs="Times New Roman"/>
          <w:color w:val="000000"/>
          <w:sz w:val="24"/>
          <w:szCs w:val="24"/>
        </w:rPr>
        <w:t xml:space="preserve"> </w:t>
      </w:r>
      <w:r w:rsidR="00926E11" w:rsidRPr="00F25BF5">
        <w:rPr>
          <w:rFonts w:ascii="Times New Roman" w:eastAsia="Times New Roman" w:hAnsi="Times New Roman" w:cs="Times New Roman"/>
          <w:color w:val="000000"/>
          <w:sz w:val="24"/>
          <w:szCs w:val="24"/>
        </w:rPr>
        <w:t>as of</w:t>
      </w:r>
      <w:r w:rsidR="000813B1" w:rsidRPr="00F25BF5">
        <w:rPr>
          <w:rFonts w:ascii="Times New Roman" w:eastAsia="Times New Roman" w:hAnsi="Times New Roman" w:cs="Times New Roman"/>
          <w:color w:val="000000"/>
          <w:sz w:val="24"/>
          <w:szCs w:val="24"/>
        </w:rPr>
        <w:t xml:space="preserve"> such unreasonable searches and seizures which are deemed unconstitutional may not be applied at the action of the criminal. This fact affected Dollree Mapp, who was suspected of harboring a known criminal. When the police came to </w:t>
      </w:r>
      <w:r w:rsidR="000813B1" w:rsidRPr="00621221">
        <w:rPr>
          <w:rFonts w:ascii="Times New Roman" w:eastAsia="Times New Roman" w:hAnsi="Times New Roman" w:cs="Times New Roman"/>
          <w:color w:val="000000"/>
          <w:sz w:val="24"/>
          <w:szCs w:val="24"/>
        </w:rPr>
        <w:t>her room, they needed to be let into the home. Under the advice of her attorney, she rejected. When cops eventually pushed their way into her home, she asked to find the search warrant. The police took up the thing the paper that they claimed was the warrant, which was the fake.</w:t>
      </w:r>
    </w:p>
    <w:p w:rsidR="0043669D" w:rsidRDefault="000813B1" w:rsidP="0043669D">
      <w:pPr>
        <w:spacing w:after="0" w:line="480" w:lineRule="auto"/>
        <w:ind w:firstLine="720"/>
        <w:contextualSpacing/>
        <w:rPr>
          <w:rFonts w:ascii="Times New Roman" w:eastAsia="Times New Roman" w:hAnsi="Times New Roman" w:cs="Times New Roman"/>
          <w:color w:val="000000"/>
          <w:sz w:val="24"/>
          <w:szCs w:val="24"/>
        </w:rPr>
      </w:pPr>
      <w:r w:rsidRPr="00621221">
        <w:rPr>
          <w:rFonts w:ascii="Times New Roman" w:eastAsia="Times New Roman" w:hAnsi="Times New Roman" w:cs="Times New Roman"/>
          <w:color w:val="000000"/>
          <w:sz w:val="24"/>
          <w:szCs w:val="24"/>
        </w:rPr>
        <w:t>Mapp v. Ohio was one of those contentious instances that the Supreme Court gave the decision on in 1961. What were the facts of this argument? What are law issues in dispute?What did the authorities make? And What was there th</w:t>
      </w:r>
      <w:r w:rsidRPr="00F25BF5">
        <w:rPr>
          <w:rFonts w:ascii="Times New Roman" w:eastAsia="Times New Roman" w:hAnsi="Times New Roman" w:cs="Times New Roman"/>
          <w:color w:val="000000"/>
          <w:sz w:val="24"/>
          <w:szCs w:val="24"/>
        </w:rPr>
        <w:t xml:space="preserve">inking of the judges? What is the meaning of </w:t>
      </w:r>
      <w:r w:rsidRPr="00621221">
        <w:rPr>
          <w:rFonts w:ascii="Times New Roman" w:eastAsia="Times New Roman" w:hAnsi="Times New Roman" w:cs="Times New Roman"/>
          <w:color w:val="000000"/>
          <w:sz w:val="24"/>
          <w:szCs w:val="24"/>
        </w:rPr>
        <w:t xml:space="preserve">this argument? The facts of this example were those police officers arrived in Mississippi Dollree Mapp home on May 23, 1957, on the doubt that she was harboring the dud person and illegal betting equipment. These police officers need to follow her house, but she denied them access into her house without The search warrant. These policemen got back with the part of newspaper, so went to get into Mississippi Mapp home to hunt for bomb someone, but no person was discovered, but within the search, officers found "lewd and lascivious" books; which was prohibited by Ohio state law to have any obscene material in your possession. It would later found out that it was the unlawful search and seizure because this material that the man had was </w:t>
      </w:r>
      <w:r w:rsidRPr="00621221">
        <w:rPr>
          <w:rFonts w:ascii="Times New Roman" w:eastAsia="Times New Roman" w:hAnsi="Times New Roman" w:cs="Times New Roman"/>
          <w:color w:val="000000"/>
          <w:sz w:val="24"/>
          <w:szCs w:val="24"/>
        </w:rPr>
        <w:lastRenderedPageBreak/>
        <w:t>not the search warrant. Mississippi Mapp was arrested, pursued, found convicted and sentenced for possession of indecent materials.</w:t>
      </w:r>
      <w:r w:rsidR="0043669D">
        <w:rPr>
          <w:rFonts w:ascii="Times New Roman" w:eastAsia="Times New Roman" w:hAnsi="Times New Roman" w:cs="Times New Roman"/>
          <w:color w:val="000000"/>
          <w:sz w:val="24"/>
          <w:szCs w:val="24"/>
        </w:rPr>
        <w:t xml:space="preserve"> </w:t>
      </w:r>
    </w:p>
    <w:p w:rsidR="0043669D" w:rsidRPr="00E7471F" w:rsidRDefault="0043669D" w:rsidP="0043669D">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sidRPr="00621221">
        <w:rPr>
          <w:rFonts w:ascii="Times New Roman" w:eastAsia="Times New Roman" w:hAnsi="Times New Roman" w:cs="Times New Roman"/>
          <w:color w:val="000000"/>
          <w:sz w:val="24"/>
          <w:szCs w:val="24"/>
        </w:rPr>
        <w:t>When Mapp v. Ohio hit the courtroom in 1961, it was not initially looked like the Fourth Amendment argument. Dollree Mapp was convicted under Ohio police for owning "obscene, lascivious, or lewd material." Mapp appealed her sentence. She found her assertion</w:t>
      </w:r>
      <w:r w:rsidRPr="00F25BF5">
        <w:rPr>
          <w:rFonts w:ascii="Times New Roman" w:eastAsia="Times New Roman" w:hAnsi="Times New Roman" w:cs="Times New Roman"/>
          <w:color w:val="000000"/>
          <w:sz w:val="24"/>
          <w:szCs w:val="24"/>
        </w:rPr>
        <w:t xml:space="preserve"> on First Amendment grounds, saying that she had the right to own these materials. When the fact hit the Supreme Court, However, the judge did not call her First Amendment right. The Court instead overruled her belief because the information against her had been confiscated without the w</w:t>
      </w:r>
      <w:r w:rsidRPr="00621221">
        <w:rPr>
          <w:rFonts w:ascii="Times New Roman" w:hAnsi="Times New Roman" w:cs="Times New Roman"/>
          <w:color w:val="222222"/>
          <w:sz w:val="24"/>
          <w:szCs w:val="24"/>
          <w:shd w:val="clear" w:color="auto" w:fill="FFFFFF"/>
        </w:rPr>
        <w:t>arrant. In such an opinion, the Court used this exclusionary rule to those states</w:t>
      </w:r>
      <w:bookmarkStart w:id="0" w:name="_GoBack"/>
      <w:bookmarkEnd w:id="0"/>
      <w:r w:rsidR="00160969">
        <w:rPr>
          <w:rFonts w:ascii="Times New Roman" w:hAnsi="Times New Roman" w:cs="Times New Roman"/>
          <w:color w:val="222222"/>
          <w:sz w:val="24"/>
          <w:szCs w:val="24"/>
          <w:shd w:val="clear" w:color="auto" w:fill="FFFFFF"/>
        </w:rPr>
        <w:t xml:space="preserve"> (</w:t>
      </w:r>
      <w:r w:rsidR="00160969">
        <w:rPr>
          <w:rFonts w:ascii="Times New Roman" w:eastAsia="Times New Roman" w:hAnsi="Times New Roman" w:cs="Times New Roman"/>
          <w:color w:val="000000"/>
          <w:sz w:val="24"/>
          <w:szCs w:val="24"/>
        </w:rPr>
        <w:t>Neubauer, &amp; Fradella, 2018).</w:t>
      </w:r>
    </w:p>
    <w:p w:rsidR="0043669D" w:rsidRPr="00F25BF5" w:rsidRDefault="0043669D" w:rsidP="0043669D">
      <w:pPr>
        <w:spacing w:after="0" w:line="480" w:lineRule="auto"/>
        <w:ind w:firstLine="720"/>
        <w:contextualSpacing/>
        <w:rPr>
          <w:rFonts w:ascii="Times New Roman" w:eastAsia="Times New Roman" w:hAnsi="Times New Roman" w:cs="Times New Roman"/>
          <w:color w:val="000000"/>
          <w:sz w:val="24"/>
          <w:szCs w:val="24"/>
        </w:rPr>
      </w:pPr>
      <w:r w:rsidRPr="00621221">
        <w:rPr>
          <w:rFonts w:ascii="Times New Roman" w:hAnsi="Times New Roman" w:cs="Times New Roman"/>
          <w:sz w:val="24"/>
          <w:szCs w:val="24"/>
        </w:rPr>
        <w:t xml:space="preserve">The 1961 U.S. Supreme Court case Mapp v. Ohio stops state courts from applying illegally obtained information at the criminal </w:t>
      </w:r>
      <w:r w:rsidRPr="00621221">
        <w:rPr>
          <w:rFonts w:ascii="Times New Roman" w:eastAsia="Times New Roman" w:hAnsi="Times New Roman" w:cs="Times New Roman"/>
          <w:color w:val="000000"/>
          <w:sz w:val="24"/>
          <w:szCs w:val="24"/>
        </w:rPr>
        <w:t>test. This appellant, or someone who appealed to this Supreme Court, was one female named Dollree Mapp. She had been convicted of having sexually explicit books and pictures, which was prohibited under oh police. Three minutes later, after fou</w:t>
      </w:r>
      <w:r w:rsidRPr="00F25BF5">
        <w:rPr>
          <w:rFonts w:ascii="Times New Roman" w:eastAsia="Times New Roman" w:hAnsi="Times New Roman" w:cs="Times New Roman"/>
          <w:color w:val="000000"/>
          <w:sz w:val="24"/>
          <w:szCs w:val="24"/>
        </w:rPr>
        <w:t>r more policemen came, the cops pulled their way into Mapp's house and couldn't let Mapp's lawyer find her. After forcibly handcuffing her, these policemen searched Mapp's place and found sexually explicit fabrics. These materials turned into the fou</w:t>
      </w:r>
      <w:r w:rsidRPr="00621221">
        <w:rPr>
          <w:rFonts w:ascii="Times New Roman" w:eastAsia="Times New Roman" w:hAnsi="Times New Roman" w:cs="Times New Roman"/>
          <w:color w:val="000000"/>
          <w:sz w:val="24"/>
          <w:szCs w:val="24"/>
        </w:rPr>
        <w:t xml:space="preserve">ndation for </w:t>
      </w:r>
      <w:r w:rsidRPr="00F25BF5">
        <w:rPr>
          <w:rFonts w:ascii="Times New Roman" w:eastAsia="Times New Roman" w:hAnsi="Times New Roman" w:cs="Times New Roman"/>
          <w:color w:val="000000"/>
          <w:sz w:val="24"/>
          <w:szCs w:val="24"/>
        </w:rPr>
        <w:t>her belief. Mapp appealed her argument to the river Supreme Court, which upheld her knowledge. The Court found its judgment on the judicial law that established state courts' immunity from implementing this doctrine called the "exclusionary rule.”</w:t>
      </w:r>
    </w:p>
    <w:p w:rsidR="0043669D" w:rsidRDefault="0043669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3669D" w:rsidRDefault="0043669D" w:rsidP="007C5143">
      <w:pPr>
        <w:shd w:val="clear" w:color="auto" w:fill="FFFFFF"/>
        <w:spacing w:after="0" w:line="480" w:lineRule="auto"/>
        <w:ind w:firstLine="720"/>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References</w:t>
      </w:r>
    </w:p>
    <w:p w:rsidR="00160969" w:rsidRDefault="00160969" w:rsidP="00160969">
      <w:pPr>
        <w:shd w:val="clear" w:color="auto" w:fill="FFFFFF"/>
        <w:spacing w:after="0" w:line="480" w:lineRule="auto"/>
        <w:ind w:left="720" w:hanging="720"/>
        <w:textAlignment w:val="baseline"/>
        <w:rPr>
          <w:rFonts w:ascii="Times New Roman" w:eastAsia="Times New Roman" w:hAnsi="Times New Roman" w:cs="Times New Roman"/>
          <w:color w:val="000000"/>
          <w:sz w:val="24"/>
          <w:szCs w:val="24"/>
        </w:rPr>
      </w:pPr>
      <w:r w:rsidRPr="0043669D">
        <w:rPr>
          <w:rFonts w:ascii="Times New Roman" w:eastAsia="Times New Roman" w:hAnsi="Times New Roman" w:cs="Times New Roman"/>
          <w:color w:val="000000"/>
          <w:sz w:val="24"/>
          <w:szCs w:val="24"/>
        </w:rPr>
        <w:t xml:space="preserve">  </w:t>
      </w:r>
    </w:p>
    <w:p w:rsidR="00160969" w:rsidRDefault="00160969" w:rsidP="00160969">
      <w:pPr>
        <w:shd w:val="clear" w:color="auto" w:fill="FFFFFF"/>
        <w:spacing w:after="0" w:line="480" w:lineRule="auto"/>
        <w:ind w:left="720" w:hanging="720"/>
        <w:textAlignment w:val="baseline"/>
        <w:rPr>
          <w:rFonts w:ascii="Times New Roman" w:eastAsia="Times New Roman" w:hAnsi="Times New Roman" w:cs="Times New Roman"/>
          <w:color w:val="000000"/>
          <w:sz w:val="24"/>
          <w:szCs w:val="24"/>
        </w:rPr>
      </w:pPr>
      <w:r w:rsidRPr="00160969">
        <w:rPr>
          <w:rFonts w:ascii="Times New Roman" w:eastAsia="Times New Roman" w:hAnsi="Times New Roman" w:cs="Times New Roman"/>
          <w:color w:val="000000"/>
          <w:sz w:val="24"/>
          <w:szCs w:val="24"/>
        </w:rPr>
        <w:t>Murray, H. (2017). </w:t>
      </w:r>
      <w:r w:rsidRPr="00160969">
        <w:rPr>
          <w:rFonts w:ascii="Times New Roman" w:eastAsia="Times New Roman" w:hAnsi="Times New Roman" w:cs="Times New Roman"/>
          <w:i/>
          <w:iCs/>
          <w:color w:val="000000"/>
          <w:sz w:val="24"/>
          <w:szCs w:val="24"/>
        </w:rPr>
        <w:t>Unreasonable Search and Seizure: The Fourth Amendment</w:t>
      </w:r>
      <w:r w:rsidRPr="00160969">
        <w:rPr>
          <w:rFonts w:ascii="Times New Roman" w:eastAsia="Times New Roman" w:hAnsi="Times New Roman" w:cs="Times New Roman"/>
          <w:color w:val="000000"/>
          <w:sz w:val="24"/>
          <w:szCs w:val="24"/>
        </w:rPr>
        <w:t>. Enslow Publishing, LLC.</w:t>
      </w:r>
    </w:p>
    <w:p w:rsidR="00160969" w:rsidRDefault="00160969" w:rsidP="00160969">
      <w:pPr>
        <w:shd w:val="clear" w:color="auto" w:fill="FFFFFF"/>
        <w:spacing w:after="0" w:line="480" w:lineRule="auto"/>
        <w:ind w:left="720" w:hanging="720"/>
        <w:textAlignment w:val="baseline"/>
        <w:rPr>
          <w:rFonts w:ascii="Times New Roman" w:eastAsia="Times New Roman" w:hAnsi="Times New Roman" w:cs="Times New Roman"/>
          <w:color w:val="000000"/>
          <w:sz w:val="24"/>
          <w:szCs w:val="24"/>
        </w:rPr>
      </w:pPr>
      <w:r w:rsidRPr="00160969">
        <w:rPr>
          <w:rFonts w:ascii="Times New Roman" w:eastAsia="Times New Roman" w:hAnsi="Times New Roman" w:cs="Times New Roman"/>
          <w:color w:val="000000"/>
          <w:sz w:val="24"/>
          <w:szCs w:val="24"/>
        </w:rPr>
        <w:t>Neubauer, D. W., &amp; Fradella, H. F. (2018). </w:t>
      </w:r>
      <w:r w:rsidRPr="00160969">
        <w:rPr>
          <w:rFonts w:ascii="Times New Roman" w:eastAsia="Times New Roman" w:hAnsi="Times New Roman" w:cs="Times New Roman"/>
          <w:i/>
          <w:iCs/>
          <w:color w:val="000000"/>
          <w:sz w:val="24"/>
          <w:szCs w:val="24"/>
        </w:rPr>
        <w:t>America's courts and the criminal justice system</w:t>
      </w:r>
      <w:r w:rsidRPr="00160969">
        <w:rPr>
          <w:rFonts w:ascii="Times New Roman" w:eastAsia="Times New Roman" w:hAnsi="Times New Roman" w:cs="Times New Roman"/>
          <w:color w:val="000000"/>
          <w:sz w:val="24"/>
          <w:szCs w:val="24"/>
        </w:rPr>
        <w:t>. Cengage Learning.</w:t>
      </w:r>
    </w:p>
    <w:p w:rsidR="00160969" w:rsidRDefault="00160969" w:rsidP="00160969">
      <w:pPr>
        <w:shd w:val="clear" w:color="auto" w:fill="FFFFFF"/>
        <w:spacing w:after="0" w:line="480" w:lineRule="auto"/>
        <w:ind w:left="720" w:hanging="720"/>
        <w:textAlignment w:val="baseline"/>
        <w:rPr>
          <w:rFonts w:ascii="Times New Roman" w:eastAsia="Times New Roman" w:hAnsi="Times New Roman" w:cs="Times New Roman"/>
          <w:color w:val="000000"/>
          <w:sz w:val="24"/>
          <w:szCs w:val="24"/>
        </w:rPr>
      </w:pPr>
      <w:r w:rsidRPr="00160969">
        <w:rPr>
          <w:rFonts w:ascii="Times New Roman" w:eastAsia="Times New Roman" w:hAnsi="Times New Roman" w:cs="Times New Roman"/>
          <w:color w:val="000000"/>
          <w:sz w:val="24"/>
          <w:szCs w:val="24"/>
        </w:rPr>
        <w:t>Solove, D. J. (2016). A brief history of information privacy law. </w:t>
      </w:r>
      <w:r w:rsidRPr="00160969">
        <w:rPr>
          <w:rFonts w:ascii="Times New Roman" w:eastAsia="Times New Roman" w:hAnsi="Times New Roman" w:cs="Times New Roman"/>
          <w:i/>
          <w:iCs/>
          <w:color w:val="000000"/>
          <w:sz w:val="24"/>
          <w:szCs w:val="24"/>
        </w:rPr>
        <w:t>Proskauer on privacy, PLI</w:t>
      </w:r>
      <w:r w:rsidRPr="00160969">
        <w:rPr>
          <w:rFonts w:ascii="Times New Roman" w:eastAsia="Times New Roman" w:hAnsi="Times New Roman" w:cs="Times New Roman"/>
          <w:color w:val="000000"/>
          <w:sz w:val="24"/>
          <w:szCs w:val="24"/>
        </w:rPr>
        <w:t>.</w:t>
      </w:r>
    </w:p>
    <w:sectPr w:rsidR="00160969" w:rsidSect="00F179F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6314" w:rsidRDefault="00EB6314">
      <w:pPr>
        <w:spacing w:after="0" w:line="240" w:lineRule="auto"/>
      </w:pPr>
      <w:r>
        <w:separator/>
      </w:r>
    </w:p>
  </w:endnote>
  <w:endnote w:type="continuationSeparator" w:id="1">
    <w:p w:rsidR="00EB6314" w:rsidRDefault="00EB63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6314" w:rsidRDefault="00EB6314">
      <w:pPr>
        <w:spacing w:after="0" w:line="240" w:lineRule="auto"/>
      </w:pPr>
      <w:r>
        <w:separator/>
      </w:r>
    </w:p>
  </w:footnote>
  <w:footnote w:type="continuationSeparator" w:id="1">
    <w:p w:rsidR="00EB6314" w:rsidRDefault="00EB63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E7471F" w:rsidP="00D55282">
    <w:pPr>
      <w:spacing w:after="0" w:line="480" w:lineRule="auto"/>
      <w:contextualSpacing/>
      <w:rPr>
        <w:rFonts w:ascii="Times New Roman" w:hAnsi="Times New Roman" w:cs="Times New Roman"/>
        <w:sz w:val="24"/>
        <w:szCs w:val="24"/>
      </w:rPr>
    </w:pPr>
    <w:r w:rsidRPr="00621221">
      <w:rPr>
        <w:rFonts w:ascii="Times New Roman" w:hAnsi="Times New Roman" w:cs="Times New Roman"/>
        <w:sz w:val="24"/>
        <w:szCs w:val="24"/>
      </w:rPr>
      <w:t xml:space="preserve">SUPREME COURT CASE MAPP V. OHIO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CA0F2A"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CA0F2A" w:rsidRPr="00FC5A8D">
          <w:rPr>
            <w:rFonts w:ascii="Times New Roman" w:hAnsi="Times New Roman" w:cs="Times New Roman"/>
            <w:sz w:val="24"/>
            <w:szCs w:val="24"/>
          </w:rPr>
          <w:fldChar w:fldCharType="separate"/>
        </w:r>
        <w:r w:rsidR="00926E11">
          <w:rPr>
            <w:rFonts w:ascii="Times New Roman" w:hAnsi="Times New Roman" w:cs="Times New Roman"/>
            <w:noProof/>
            <w:sz w:val="24"/>
            <w:szCs w:val="24"/>
          </w:rPr>
          <w:t>3</w:t>
        </w:r>
        <w:r w:rsidR="00CA0F2A" w:rsidRPr="00FC5A8D">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E7471F" w:rsidP="00E7471F">
    <w:pPr>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head: </w:t>
    </w:r>
    <w:r w:rsidRPr="00621221">
      <w:rPr>
        <w:rFonts w:ascii="Times New Roman" w:hAnsi="Times New Roman" w:cs="Times New Roman"/>
        <w:sz w:val="24"/>
        <w:szCs w:val="24"/>
      </w:rPr>
      <w:t xml:space="preserve">SUPREME COURT CASE MAPP V. OHIO </w:t>
    </w:r>
    <w:r>
      <w:rPr>
        <w:rFonts w:ascii="Times New Roman" w:hAnsi="Times New Roman" w:cs="Times New Roman"/>
        <w:sz w:val="24"/>
        <w:szCs w:val="24"/>
      </w:rPr>
      <w:tab/>
    </w:r>
    <w:r w:rsidR="0043669D">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Content>
        <w:r w:rsidR="00CA0F2A" w:rsidRPr="00FC5A8D">
          <w:rPr>
            <w:rFonts w:ascii="Times New Roman" w:hAnsi="Times New Roman" w:cs="Times New Roman"/>
            <w:sz w:val="24"/>
            <w:szCs w:val="24"/>
          </w:rPr>
          <w:fldChar w:fldCharType="begin"/>
        </w:r>
        <w:r w:rsidR="00CD7D98" w:rsidRPr="00FC5A8D">
          <w:rPr>
            <w:rFonts w:ascii="Times New Roman" w:hAnsi="Times New Roman" w:cs="Times New Roman"/>
            <w:sz w:val="24"/>
            <w:szCs w:val="24"/>
          </w:rPr>
          <w:instrText xml:space="preserve"> PAGE   \* MERGEFORMAT </w:instrText>
        </w:r>
        <w:r w:rsidR="00CA0F2A" w:rsidRPr="00FC5A8D">
          <w:rPr>
            <w:rFonts w:ascii="Times New Roman" w:hAnsi="Times New Roman" w:cs="Times New Roman"/>
            <w:sz w:val="24"/>
            <w:szCs w:val="24"/>
          </w:rPr>
          <w:fldChar w:fldCharType="separate"/>
        </w:r>
        <w:r w:rsidR="00926E11">
          <w:rPr>
            <w:rFonts w:ascii="Times New Roman" w:hAnsi="Times New Roman" w:cs="Times New Roman"/>
            <w:noProof/>
            <w:sz w:val="24"/>
            <w:szCs w:val="24"/>
          </w:rPr>
          <w:t>1</w:t>
        </w:r>
        <w:r w:rsidR="00CA0F2A" w:rsidRPr="00FC5A8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30FEF11C">
      <w:start w:val="1"/>
      <w:numFmt w:val="decimal"/>
      <w:lvlText w:val="%1."/>
      <w:lvlJc w:val="left"/>
      <w:pPr>
        <w:ind w:left="720" w:hanging="360"/>
      </w:pPr>
      <w:rPr>
        <w:rFonts w:hint="default"/>
      </w:rPr>
    </w:lvl>
    <w:lvl w:ilvl="1" w:tplc="617E9994" w:tentative="1">
      <w:start w:val="1"/>
      <w:numFmt w:val="lowerLetter"/>
      <w:lvlText w:val="%2."/>
      <w:lvlJc w:val="left"/>
      <w:pPr>
        <w:ind w:left="1440" w:hanging="360"/>
      </w:pPr>
    </w:lvl>
    <w:lvl w:ilvl="2" w:tplc="4224E69E" w:tentative="1">
      <w:start w:val="1"/>
      <w:numFmt w:val="lowerRoman"/>
      <w:lvlText w:val="%3."/>
      <w:lvlJc w:val="right"/>
      <w:pPr>
        <w:ind w:left="2160" w:hanging="180"/>
      </w:pPr>
    </w:lvl>
    <w:lvl w:ilvl="3" w:tplc="FB4294EC" w:tentative="1">
      <w:start w:val="1"/>
      <w:numFmt w:val="decimal"/>
      <w:lvlText w:val="%4."/>
      <w:lvlJc w:val="left"/>
      <w:pPr>
        <w:ind w:left="2880" w:hanging="360"/>
      </w:pPr>
    </w:lvl>
    <w:lvl w:ilvl="4" w:tplc="BC0A6CDC" w:tentative="1">
      <w:start w:val="1"/>
      <w:numFmt w:val="lowerLetter"/>
      <w:lvlText w:val="%5."/>
      <w:lvlJc w:val="left"/>
      <w:pPr>
        <w:ind w:left="3600" w:hanging="360"/>
      </w:pPr>
    </w:lvl>
    <w:lvl w:ilvl="5" w:tplc="BD6A0F68" w:tentative="1">
      <w:start w:val="1"/>
      <w:numFmt w:val="lowerRoman"/>
      <w:lvlText w:val="%6."/>
      <w:lvlJc w:val="right"/>
      <w:pPr>
        <w:ind w:left="4320" w:hanging="180"/>
      </w:pPr>
    </w:lvl>
    <w:lvl w:ilvl="6" w:tplc="7F3A3698" w:tentative="1">
      <w:start w:val="1"/>
      <w:numFmt w:val="decimal"/>
      <w:lvlText w:val="%7."/>
      <w:lvlJc w:val="left"/>
      <w:pPr>
        <w:ind w:left="5040" w:hanging="360"/>
      </w:pPr>
    </w:lvl>
    <w:lvl w:ilvl="7" w:tplc="B3905288" w:tentative="1">
      <w:start w:val="1"/>
      <w:numFmt w:val="lowerLetter"/>
      <w:lvlText w:val="%8."/>
      <w:lvlJc w:val="left"/>
      <w:pPr>
        <w:ind w:left="5760" w:hanging="360"/>
      </w:pPr>
    </w:lvl>
    <w:lvl w:ilvl="8" w:tplc="96CEF3EC"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tplc="20F02072">
      <w:start w:val="1"/>
      <w:numFmt w:val="decimal"/>
      <w:lvlText w:val="%1."/>
      <w:lvlJc w:val="left"/>
      <w:pPr>
        <w:ind w:left="720" w:hanging="360"/>
      </w:pPr>
      <w:rPr>
        <w:rFonts w:hint="default"/>
      </w:rPr>
    </w:lvl>
    <w:lvl w:ilvl="1" w:tplc="3C6A0EB6" w:tentative="1">
      <w:start w:val="1"/>
      <w:numFmt w:val="lowerLetter"/>
      <w:lvlText w:val="%2."/>
      <w:lvlJc w:val="left"/>
      <w:pPr>
        <w:ind w:left="1440" w:hanging="360"/>
      </w:pPr>
    </w:lvl>
    <w:lvl w:ilvl="2" w:tplc="D4208B52" w:tentative="1">
      <w:start w:val="1"/>
      <w:numFmt w:val="lowerRoman"/>
      <w:lvlText w:val="%3."/>
      <w:lvlJc w:val="right"/>
      <w:pPr>
        <w:ind w:left="2160" w:hanging="180"/>
      </w:pPr>
    </w:lvl>
    <w:lvl w:ilvl="3" w:tplc="375C2674" w:tentative="1">
      <w:start w:val="1"/>
      <w:numFmt w:val="decimal"/>
      <w:lvlText w:val="%4."/>
      <w:lvlJc w:val="left"/>
      <w:pPr>
        <w:ind w:left="2880" w:hanging="360"/>
      </w:pPr>
    </w:lvl>
    <w:lvl w:ilvl="4" w:tplc="8D0452E2" w:tentative="1">
      <w:start w:val="1"/>
      <w:numFmt w:val="lowerLetter"/>
      <w:lvlText w:val="%5."/>
      <w:lvlJc w:val="left"/>
      <w:pPr>
        <w:ind w:left="3600" w:hanging="360"/>
      </w:pPr>
    </w:lvl>
    <w:lvl w:ilvl="5" w:tplc="2728B430" w:tentative="1">
      <w:start w:val="1"/>
      <w:numFmt w:val="lowerRoman"/>
      <w:lvlText w:val="%6."/>
      <w:lvlJc w:val="right"/>
      <w:pPr>
        <w:ind w:left="4320" w:hanging="180"/>
      </w:pPr>
    </w:lvl>
    <w:lvl w:ilvl="6" w:tplc="2AC67286" w:tentative="1">
      <w:start w:val="1"/>
      <w:numFmt w:val="decimal"/>
      <w:lvlText w:val="%7."/>
      <w:lvlJc w:val="left"/>
      <w:pPr>
        <w:ind w:left="5040" w:hanging="360"/>
      </w:pPr>
    </w:lvl>
    <w:lvl w:ilvl="7" w:tplc="E1FACB70" w:tentative="1">
      <w:start w:val="1"/>
      <w:numFmt w:val="lowerLetter"/>
      <w:lvlText w:val="%8."/>
      <w:lvlJc w:val="left"/>
      <w:pPr>
        <w:ind w:left="5760" w:hanging="360"/>
      </w:pPr>
    </w:lvl>
    <w:lvl w:ilvl="8" w:tplc="03B22CF0" w:tentative="1">
      <w:start w:val="1"/>
      <w:numFmt w:val="lowerRoman"/>
      <w:lvlText w:val="%9."/>
      <w:lvlJc w:val="right"/>
      <w:pPr>
        <w:ind w:left="6480" w:hanging="180"/>
      </w:pPr>
    </w:lvl>
  </w:abstractNum>
  <w:abstractNum w:abstractNumId="3">
    <w:nsid w:val="69F404EE"/>
    <w:multiLevelType w:val="hybridMultilevel"/>
    <w:tmpl w:val="48D6A4B4"/>
    <w:lvl w:ilvl="0" w:tplc="A592624E">
      <w:start w:val="1"/>
      <w:numFmt w:val="decimal"/>
      <w:lvlText w:val="%1."/>
      <w:lvlJc w:val="left"/>
      <w:pPr>
        <w:ind w:left="1080" w:hanging="360"/>
      </w:pPr>
      <w:rPr>
        <w:rFonts w:hint="default"/>
      </w:rPr>
    </w:lvl>
    <w:lvl w:ilvl="1" w:tplc="BE80CADA" w:tentative="1">
      <w:start w:val="1"/>
      <w:numFmt w:val="lowerLetter"/>
      <w:lvlText w:val="%2."/>
      <w:lvlJc w:val="left"/>
      <w:pPr>
        <w:ind w:left="1800" w:hanging="360"/>
      </w:pPr>
    </w:lvl>
    <w:lvl w:ilvl="2" w:tplc="B7943D96" w:tentative="1">
      <w:start w:val="1"/>
      <w:numFmt w:val="lowerRoman"/>
      <w:lvlText w:val="%3."/>
      <w:lvlJc w:val="right"/>
      <w:pPr>
        <w:ind w:left="2520" w:hanging="180"/>
      </w:pPr>
    </w:lvl>
    <w:lvl w:ilvl="3" w:tplc="1E168350" w:tentative="1">
      <w:start w:val="1"/>
      <w:numFmt w:val="decimal"/>
      <w:lvlText w:val="%4."/>
      <w:lvlJc w:val="left"/>
      <w:pPr>
        <w:ind w:left="3240" w:hanging="360"/>
      </w:pPr>
    </w:lvl>
    <w:lvl w:ilvl="4" w:tplc="1C9A9404" w:tentative="1">
      <w:start w:val="1"/>
      <w:numFmt w:val="lowerLetter"/>
      <w:lvlText w:val="%5."/>
      <w:lvlJc w:val="left"/>
      <w:pPr>
        <w:ind w:left="3960" w:hanging="360"/>
      </w:pPr>
    </w:lvl>
    <w:lvl w:ilvl="5" w:tplc="D59C4154" w:tentative="1">
      <w:start w:val="1"/>
      <w:numFmt w:val="lowerRoman"/>
      <w:lvlText w:val="%6."/>
      <w:lvlJc w:val="right"/>
      <w:pPr>
        <w:ind w:left="4680" w:hanging="180"/>
      </w:pPr>
    </w:lvl>
    <w:lvl w:ilvl="6" w:tplc="B99C1DB0" w:tentative="1">
      <w:start w:val="1"/>
      <w:numFmt w:val="decimal"/>
      <w:lvlText w:val="%7."/>
      <w:lvlJc w:val="left"/>
      <w:pPr>
        <w:ind w:left="5400" w:hanging="360"/>
      </w:pPr>
    </w:lvl>
    <w:lvl w:ilvl="7" w:tplc="365E1C48" w:tentative="1">
      <w:start w:val="1"/>
      <w:numFmt w:val="lowerLetter"/>
      <w:lvlText w:val="%8."/>
      <w:lvlJc w:val="left"/>
      <w:pPr>
        <w:ind w:left="6120" w:hanging="360"/>
      </w:pPr>
    </w:lvl>
    <w:lvl w:ilvl="8" w:tplc="4C1E9D7E"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03B7B"/>
    <w:rsid w:val="00043935"/>
    <w:rsid w:val="000445EF"/>
    <w:rsid w:val="00044625"/>
    <w:rsid w:val="00063531"/>
    <w:rsid w:val="000813B1"/>
    <w:rsid w:val="00084A2A"/>
    <w:rsid w:val="000B4DDA"/>
    <w:rsid w:val="000E62D6"/>
    <w:rsid w:val="000F6DE4"/>
    <w:rsid w:val="0010656B"/>
    <w:rsid w:val="00123B5F"/>
    <w:rsid w:val="001547E1"/>
    <w:rsid w:val="00160969"/>
    <w:rsid w:val="00166D77"/>
    <w:rsid w:val="001762DB"/>
    <w:rsid w:val="00196F38"/>
    <w:rsid w:val="001A0C0F"/>
    <w:rsid w:val="001C5B88"/>
    <w:rsid w:val="001E508E"/>
    <w:rsid w:val="001F6BF2"/>
    <w:rsid w:val="002003D9"/>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A3E84"/>
    <w:rsid w:val="003C1515"/>
    <w:rsid w:val="003D715A"/>
    <w:rsid w:val="003E14CF"/>
    <w:rsid w:val="003E4570"/>
    <w:rsid w:val="00427CBC"/>
    <w:rsid w:val="0043669D"/>
    <w:rsid w:val="00446EB6"/>
    <w:rsid w:val="004516A4"/>
    <w:rsid w:val="004873A6"/>
    <w:rsid w:val="004A3920"/>
    <w:rsid w:val="004B11D0"/>
    <w:rsid w:val="004B308F"/>
    <w:rsid w:val="004E6C24"/>
    <w:rsid w:val="004F38A3"/>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621221"/>
    <w:rsid w:val="0064209B"/>
    <w:rsid w:val="00644BA6"/>
    <w:rsid w:val="006545F4"/>
    <w:rsid w:val="00676560"/>
    <w:rsid w:val="006A7B36"/>
    <w:rsid w:val="006B6CA1"/>
    <w:rsid w:val="006B7C96"/>
    <w:rsid w:val="006D357D"/>
    <w:rsid w:val="006E21EF"/>
    <w:rsid w:val="006E3921"/>
    <w:rsid w:val="007151C1"/>
    <w:rsid w:val="00715FA9"/>
    <w:rsid w:val="007309C3"/>
    <w:rsid w:val="007962D1"/>
    <w:rsid w:val="007C3A46"/>
    <w:rsid w:val="007C5143"/>
    <w:rsid w:val="007C6157"/>
    <w:rsid w:val="007D5A75"/>
    <w:rsid w:val="007E6731"/>
    <w:rsid w:val="008015E0"/>
    <w:rsid w:val="008132C1"/>
    <w:rsid w:val="008154AE"/>
    <w:rsid w:val="0084308D"/>
    <w:rsid w:val="00860CF8"/>
    <w:rsid w:val="00863967"/>
    <w:rsid w:val="008D04DA"/>
    <w:rsid w:val="008F046B"/>
    <w:rsid w:val="00900D57"/>
    <w:rsid w:val="00926E11"/>
    <w:rsid w:val="00933CCA"/>
    <w:rsid w:val="00944332"/>
    <w:rsid w:val="00945779"/>
    <w:rsid w:val="009714D3"/>
    <w:rsid w:val="00974DE8"/>
    <w:rsid w:val="00997AAC"/>
    <w:rsid w:val="009B44A3"/>
    <w:rsid w:val="009C3569"/>
    <w:rsid w:val="009C5441"/>
    <w:rsid w:val="00A022BF"/>
    <w:rsid w:val="00A0413C"/>
    <w:rsid w:val="00A223E6"/>
    <w:rsid w:val="00A34286"/>
    <w:rsid w:val="00A475D8"/>
    <w:rsid w:val="00A63C62"/>
    <w:rsid w:val="00A71935"/>
    <w:rsid w:val="00A74FDA"/>
    <w:rsid w:val="00A817A8"/>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71CAD"/>
    <w:rsid w:val="00C854B3"/>
    <w:rsid w:val="00C91CD5"/>
    <w:rsid w:val="00CA0F2A"/>
    <w:rsid w:val="00CA5751"/>
    <w:rsid w:val="00CD7D98"/>
    <w:rsid w:val="00CF08FF"/>
    <w:rsid w:val="00D3149F"/>
    <w:rsid w:val="00D31FCE"/>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5375B"/>
    <w:rsid w:val="00E65170"/>
    <w:rsid w:val="00E7115A"/>
    <w:rsid w:val="00E7471F"/>
    <w:rsid w:val="00E81B2E"/>
    <w:rsid w:val="00E83D63"/>
    <w:rsid w:val="00EB6314"/>
    <w:rsid w:val="00EC607F"/>
    <w:rsid w:val="00ED484D"/>
    <w:rsid w:val="00EF7BED"/>
    <w:rsid w:val="00F179F0"/>
    <w:rsid w:val="00F25BF5"/>
    <w:rsid w:val="00F4153C"/>
    <w:rsid w:val="00F90D8A"/>
    <w:rsid w:val="00FB45B4"/>
    <w:rsid w:val="00FB59FB"/>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3CCA9-1BD4-4994-9AC0-E2BF73053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2019-05-25T21:13:00Z</dcterms:created>
  <dcterms:modified xsi:type="dcterms:W3CDTF">2019-05-25T21:30:00Z</dcterms:modified>
</cp:coreProperties>
</file>